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47D9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国家科技评估中心评估研究专项</w:t>
      </w:r>
    </w:p>
    <w:p w14:paraId="14362B8C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2019</w:t>
      </w: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年项目申报指南</w:t>
      </w:r>
      <w:bookmarkStart w:id="0" w:name="_GoBack"/>
      <w:bookmarkEnd w:id="0"/>
    </w:p>
    <w:p w14:paraId="7D3159EB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为贯彻落</w:t>
      </w:r>
      <w:proofErr w:type="gramStart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实习近</w:t>
      </w:r>
      <w:proofErr w:type="gramEnd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平总书记关于科技创新的重要论述和科技评价制度改革的指导精神，加强我国科技评估理论方法研究，培养科技评估专业人才和团队，推动我国科技评估行业发展，国家科技评估中心设立本专项。2019年项目申报相关事宜如下。</w:t>
      </w:r>
    </w:p>
    <w:p w14:paraId="6953982F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一、项目设置</w:t>
      </w:r>
    </w:p>
    <w:p w14:paraId="4702412E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1.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科技创新社会经济影响评价方法研究</w:t>
      </w:r>
    </w:p>
    <w:p w14:paraId="3C8B5016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2.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科技创新战略制定及评估方法研究</w:t>
      </w:r>
    </w:p>
    <w:p w14:paraId="478C35AE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3.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基于全生命周期的科技计划评估体系研究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</w:p>
    <w:p w14:paraId="68F43E4F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4.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科技创新政策预评估方法研究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</w:p>
    <w:p w14:paraId="7D073E54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5.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新型科技创新政策工具实践状况与评估研究</w:t>
      </w:r>
    </w:p>
    <w:p w14:paraId="19EF105C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6.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科技评估信息化与系统模型研究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 </w:t>
      </w:r>
    </w:p>
    <w:p w14:paraId="03534602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7.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新型研发机构评估研究</w:t>
      </w:r>
    </w:p>
    <w:p w14:paraId="2CB17120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8.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发达国家科技评估机构发展现状与趋势研究</w:t>
      </w:r>
    </w:p>
    <w:p w14:paraId="2E4DAD86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9.</w:t>
      </w:r>
      <w:r w:rsidRPr="00977400">
        <w:rPr>
          <w:rFonts w:ascii="Times New Roman" w:eastAsia="仿宋_GB2312" w:hAnsi="Times New Roman" w:cs="Times New Roman"/>
          <w:color w:val="666666"/>
          <w:kern w:val="0"/>
          <w:sz w:val="14"/>
          <w:szCs w:val="14"/>
          <w:bdr w:val="none" w:sz="0" w:space="0" w:color="auto" w:frame="1"/>
        </w:rPr>
        <w:t> 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高校院所科技成果转化效率测度研究</w:t>
      </w:r>
    </w:p>
    <w:p w14:paraId="7506B070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10.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国家及地方人才引进政策及其实施成效研究</w:t>
      </w:r>
    </w:p>
    <w:p w14:paraId="1CABB2D3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11.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负责任创新的理论与应用研究</w:t>
      </w:r>
    </w:p>
    <w:p w14:paraId="01F7FF21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二、资助强度</w:t>
      </w:r>
    </w:p>
    <w:p w14:paraId="22034A7D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每个项目资助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10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万元，研究周期为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年。</w:t>
      </w:r>
    </w:p>
    <w:p w14:paraId="734D6B69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left="420" w:firstLine="16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三、申请要求与注意事项</w:t>
      </w:r>
    </w:p>
    <w:p w14:paraId="7C1E8F5B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lastRenderedPageBreak/>
        <w:t>（一）申请要求</w:t>
      </w:r>
    </w:p>
    <w:p w14:paraId="3B6E8BC6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1.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围绕项目总体目标，坚持理论研究与应用对策研究相结合，注重针对性和实用性，力求创新性和前瞻性，通过深入分析和调查研究，形成研究报告。</w:t>
      </w:r>
    </w:p>
    <w:p w14:paraId="1AF4EC32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2.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按照本指南</w:t>
      </w:r>
      <w:r w:rsidRPr="0097740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设定的项目范围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进行申报。</w:t>
      </w:r>
    </w:p>
    <w:p w14:paraId="4115F5A8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3.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所在单位应为中国大陆境内注册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年以上的科研院所、高等院校或企事业单位等，具有独立法人资格。</w:t>
      </w:r>
    </w:p>
    <w:p w14:paraId="027E106B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4.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具有高级专业技术职务（职称）或具有博士学位，或者有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2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名相同研究领域内具有高级专业技术职务（职称）专家的推荐。</w:t>
      </w:r>
    </w:p>
    <w:p w14:paraId="394878F1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5.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  <w:proofErr w:type="gramStart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无科研</w:t>
      </w:r>
      <w:proofErr w:type="gramEnd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不端行为记录。</w:t>
      </w:r>
    </w:p>
    <w:p w14:paraId="2C548581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 xml:space="preserve">　　</w:t>
      </w:r>
      <w:r w:rsidRPr="00977400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（二）限项规定</w:t>
      </w:r>
    </w:p>
    <w:p w14:paraId="41926913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 xml:space="preserve">　　每位申请人每年申请、承担专项项目限为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项。</w:t>
      </w:r>
    </w:p>
    <w:p w14:paraId="28D5D51F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 xml:space="preserve">　　</w:t>
      </w:r>
      <w:r w:rsidRPr="00977400">
        <w:rPr>
          <w:rFonts w:ascii="仿宋_GB2312" w:eastAsia="仿宋_GB2312" w:hAnsi="微软雅黑" w:cs="宋体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（三）注意事项</w:t>
      </w:r>
    </w:p>
    <w:p w14:paraId="2E5DCA39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.申请截止日期为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2019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12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8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日，逾期不予受理。</w:t>
      </w:r>
    </w:p>
    <w:p w14:paraId="5F23BCE1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2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.申请人应提交本人签字、单位盖章的纸质申请书原件（一份，模板见附件）及必要证明材料，可直接送达或邮寄至国家科技评估中心，并在信封左下角注明“科技评估研究专项项目申请材料”。同时将申请书电子版发送至</w:t>
      </w:r>
      <w:r w:rsidRPr="00977400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yjzx@ncste.org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。</w:t>
      </w:r>
    </w:p>
    <w:p w14:paraId="7911EB36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黑体" w:eastAsia="黑体" w:hAnsi="黑体" w:cs="宋体" w:hint="eastAsia"/>
          <w:color w:val="666666"/>
          <w:kern w:val="0"/>
          <w:sz w:val="32"/>
          <w:szCs w:val="32"/>
          <w:bdr w:val="none" w:sz="0" w:space="0" w:color="auto" w:frame="1"/>
        </w:rPr>
        <w:t>四、联系方式</w:t>
      </w:r>
    </w:p>
    <w:p w14:paraId="3F7970E7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lastRenderedPageBreak/>
        <w:t>联系电话：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010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-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62169605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，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010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-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62169607</w:t>
      </w:r>
    </w:p>
    <w:p w14:paraId="30ED122E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3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电子信箱：</w:t>
      </w:r>
      <w:r w:rsidRPr="00977400">
        <w:rPr>
          <w:rFonts w:ascii="Times New Roman" w:eastAsia="微软雅黑" w:hAnsi="Times New Roman" w:cs="Times New Roman"/>
          <w:color w:val="000000"/>
          <w:kern w:val="0"/>
          <w:sz w:val="32"/>
          <w:szCs w:val="32"/>
          <w:bdr w:val="none" w:sz="0" w:space="0" w:color="auto" w:frame="1"/>
        </w:rPr>
        <w:t>yjzx@ncste.org</w:t>
      </w:r>
    </w:p>
    <w:p w14:paraId="11DF3466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通讯地址：北京市海淀区中关村南大街12号 中国农业科学院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35</w:t>
      </w: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号楼 国家科技评估中心</w:t>
      </w:r>
    </w:p>
    <w:p w14:paraId="3AE9DDAF" w14:textId="77777777" w:rsidR="00977400" w:rsidRPr="00977400" w:rsidRDefault="00977400" w:rsidP="0097740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 xml:space="preserve">　　</w:t>
      </w:r>
      <w:proofErr w:type="gramStart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邮</w:t>
      </w:r>
      <w:proofErr w:type="gramEnd"/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 xml:space="preserve">　　编：</w:t>
      </w:r>
      <w:r w:rsidRPr="00977400">
        <w:rPr>
          <w:rFonts w:ascii="Times New Roman" w:eastAsia="微软雅黑" w:hAnsi="Times New Roman" w:cs="Times New Roman"/>
          <w:color w:val="666666"/>
          <w:kern w:val="0"/>
          <w:sz w:val="32"/>
          <w:szCs w:val="32"/>
          <w:bdr w:val="none" w:sz="0" w:space="0" w:color="auto" w:frame="1"/>
        </w:rPr>
        <w:t>100081</w:t>
      </w:r>
    </w:p>
    <w:p w14:paraId="38EA57FE" w14:textId="77777777" w:rsidR="00977400" w:rsidRPr="00977400" w:rsidRDefault="00977400" w:rsidP="00977400">
      <w:pPr>
        <w:widowControl/>
        <w:shd w:val="clear" w:color="auto" w:fill="FFFFFF"/>
        <w:spacing w:line="555" w:lineRule="atLeast"/>
        <w:ind w:firstLine="555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77400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bdr w:val="none" w:sz="0" w:space="0" w:color="auto" w:frame="1"/>
        </w:rPr>
        <w:t> </w:t>
      </w:r>
    </w:p>
    <w:p w14:paraId="113E87D0" w14:textId="77777777" w:rsidR="00977400" w:rsidRPr="00977400" w:rsidRDefault="00977400" w:rsidP="00977400">
      <w:pPr>
        <w:widowControl/>
        <w:shd w:val="clear" w:color="auto" w:fill="FFFFFF"/>
        <w:spacing w:line="24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hyperlink r:id="rId4" w:tgtFrame="_self" w:tooltip="评估研究专项项目申报书（2019） .doc" w:history="1">
        <w:r w:rsidRPr="00977400">
          <w:rPr>
            <w:rFonts w:ascii="微软雅黑" w:eastAsia="微软雅黑" w:hAnsi="微软雅黑" w:cs="宋体" w:hint="eastAsia"/>
            <w:color w:val="666666"/>
            <w:kern w:val="0"/>
            <w:sz w:val="30"/>
            <w:szCs w:val="30"/>
            <w:u w:val="single"/>
            <w:bdr w:val="none" w:sz="0" w:space="0" w:color="auto" w:frame="1"/>
          </w:rPr>
          <w:t>附件：项目申报书模板</w:t>
        </w:r>
      </w:hyperlink>
    </w:p>
    <w:p w14:paraId="5928E88D" w14:textId="77777777" w:rsidR="00C1187C" w:rsidRPr="00977400" w:rsidRDefault="00C1187C"/>
    <w:sectPr w:rsidR="00C1187C" w:rsidRPr="0097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A3"/>
    <w:rsid w:val="006B23A0"/>
    <w:rsid w:val="006E51A3"/>
    <w:rsid w:val="00977400"/>
    <w:rsid w:val="00C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F68E"/>
  <w15:chartTrackingRefBased/>
  <w15:docId w15:val="{BC78F6DF-A5D9-4C1E-81EA-5B9B4766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77400"/>
  </w:style>
  <w:style w:type="character" w:styleId="a4">
    <w:name w:val="Strong"/>
    <w:basedOn w:val="a0"/>
    <w:uiPriority w:val="22"/>
    <w:qFormat/>
    <w:rsid w:val="00977400"/>
    <w:rPr>
      <w:b/>
      <w:bCs/>
    </w:rPr>
  </w:style>
  <w:style w:type="character" w:styleId="a5">
    <w:name w:val="Hyperlink"/>
    <w:basedOn w:val="a0"/>
    <w:uiPriority w:val="99"/>
    <w:semiHidden/>
    <w:unhideWhenUsed/>
    <w:rsid w:val="0097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222640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ste.org/uploads/file/20191114/1573722163516066420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闽南师范大学</dc:creator>
  <cp:keywords/>
  <dc:description/>
  <cp:lastModifiedBy>闽南师范大学</cp:lastModifiedBy>
  <cp:revision>3</cp:revision>
  <dcterms:created xsi:type="dcterms:W3CDTF">2019-11-20T03:41:00Z</dcterms:created>
  <dcterms:modified xsi:type="dcterms:W3CDTF">2019-11-20T03:42:00Z</dcterms:modified>
</cp:coreProperties>
</file>